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1730"/>
      </w:tblGrid>
      <w:tr w:rsidR="00871830" w:rsidRPr="002F239C" w14:paraId="4E38A7BF" w14:textId="77777777" w:rsidTr="00E97D0D">
        <w:trPr>
          <w:trHeight w:val="709"/>
        </w:trPr>
        <w:tc>
          <w:tcPr>
            <w:tcW w:w="14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79FC1" w14:textId="0EA501F4" w:rsidR="00871830" w:rsidRPr="002F239C" w:rsidRDefault="00871830" w:rsidP="00871830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2F239C">
              <w:rPr>
                <w:rFonts w:ascii="Times New Roman" w:hAnsi="Times New Roman" w:cs="Times New Roman"/>
                <w:sz w:val="40"/>
                <w:szCs w:val="40"/>
              </w:rPr>
              <w:t>Оценка негативных последствий</w:t>
            </w:r>
          </w:p>
        </w:tc>
      </w:tr>
      <w:tr w:rsidR="00871830" w:rsidRPr="002F239C" w14:paraId="01741FA3" w14:textId="77777777" w:rsidTr="00E97D0D">
        <w:trPr>
          <w:trHeight w:val="1093"/>
        </w:trPr>
        <w:tc>
          <w:tcPr>
            <w:tcW w:w="2830" w:type="dxa"/>
            <w:tcBorders>
              <w:top w:val="single" w:sz="4" w:space="0" w:color="auto"/>
            </w:tcBorders>
          </w:tcPr>
          <w:p w14:paraId="7ED3C1D6" w14:textId="77777777" w:rsidR="002F239C" w:rsidRDefault="002F239C" w:rsidP="002F23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E88354F" w14:textId="771F1774" w:rsidR="00871830" w:rsidRPr="002F239C" w:rsidRDefault="00C806BB" w:rsidP="002F23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Уровень риска</w:t>
            </w:r>
          </w:p>
        </w:tc>
        <w:tc>
          <w:tcPr>
            <w:tcW w:w="11730" w:type="dxa"/>
            <w:tcBorders>
              <w:top w:val="single" w:sz="4" w:space="0" w:color="auto"/>
            </w:tcBorders>
          </w:tcPr>
          <w:p w14:paraId="75346BF9" w14:textId="77777777" w:rsidR="002F239C" w:rsidRDefault="002F239C" w:rsidP="002F23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A71F941" w14:textId="55BAAAB9" w:rsidR="00871830" w:rsidRPr="002F239C" w:rsidRDefault="00C806BB" w:rsidP="002F23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Последствия</w:t>
            </w:r>
          </w:p>
        </w:tc>
      </w:tr>
      <w:tr w:rsidR="00871830" w:rsidRPr="002F239C" w14:paraId="26C0EF63" w14:textId="77777777" w:rsidTr="008E5ADF">
        <w:trPr>
          <w:trHeight w:val="1676"/>
        </w:trPr>
        <w:tc>
          <w:tcPr>
            <w:tcW w:w="2830" w:type="dxa"/>
            <w:shd w:val="clear" w:color="auto" w:fill="FF0066"/>
          </w:tcPr>
          <w:p w14:paraId="1DCBADC8" w14:textId="41FC9AB7" w:rsidR="00871830" w:rsidRPr="002F239C" w:rsidRDefault="008718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Высокий</w:t>
            </w:r>
          </w:p>
        </w:tc>
        <w:tc>
          <w:tcPr>
            <w:tcW w:w="11730" w:type="dxa"/>
            <w:shd w:val="clear" w:color="auto" w:fill="FF99CC"/>
          </w:tcPr>
          <w:p w14:paraId="29D68BE1" w14:textId="642D0569" w:rsidR="00871830" w:rsidRPr="002F239C" w:rsidRDefault="00C806B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Выдача предупреждения и (или) возбуждение дела о нарушении антимонопольного законодательства и (или) привлечение к административной ответственности (штраф, дисквалификация)</w:t>
            </w:r>
          </w:p>
        </w:tc>
      </w:tr>
      <w:tr w:rsidR="00871830" w:rsidRPr="002F239C" w14:paraId="755EC320" w14:textId="77777777" w:rsidTr="008E5ADF">
        <w:trPr>
          <w:trHeight w:val="1699"/>
        </w:trPr>
        <w:tc>
          <w:tcPr>
            <w:tcW w:w="2830" w:type="dxa"/>
            <w:shd w:val="clear" w:color="auto" w:fill="FF9900"/>
          </w:tcPr>
          <w:p w14:paraId="5EEE6EC7" w14:textId="3F07C4CF" w:rsidR="00871830" w:rsidRPr="002F239C" w:rsidRDefault="008718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Существенный</w:t>
            </w:r>
          </w:p>
        </w:tc>
        <w:tc>
          <w:tcPr>
            <w:tcW w:w="11730" w:type="dxa"/>
            <w:shd w:val="clear" w:color="auto" w:fill="FFFFCC"/>
          </w:tcPr>
          <w:p w14:paraId="7C1CBBD5" w14:textId="1C3C0CAA" w:rsidR="00871830" w:rsidRPr="002F239C" w:rsidRDefault="00C806B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Возможность выдачи предупреждения и возбуждения дела о нарушении антимонопольного законодательства</w:t>
            </w:r>
          </w:p>
        </w:tc>
      </w:tr>
      <w:tr w:rsidR="00871830" w:rsidRPr="002F239C" w14:paraId="34DC8CB3" w14:textId="77777777" w:rsidTr="008E5ADF">
        <w:trPr>
          <w:trHeight w:val="1695"/>
        </w:trPr>
        <w:tc>
          <w:tcPr>
            <w:tcW w:w="2830" w:type="dxa"/>
            <w:shd w:val="clear" w:color="auto" w:fill="00FFFF"/>
          </w:tcPr>
          <w:p w14:paraId="4F70A06E" w14:textId="39CE667A" w:rsidR="00871830" w:rsidRPr="002F239C" w:rsidRDefault="008718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Незначительный</w:t>
            </w:r>
          </w:p>
        </w:tc>
        <w:tc>
          <w:tcPr>
            <w:tcW w:w="11730" w:type="dxa"/>
            <w:shd w:val="clear" w:color="auto" w:fill="CCFFFF"/>
          </w:tcPr>
          <w:p w14:paraId="2EC774E7" w14:textId="59602F80" w:rsidR="00871830" w:rsidRPr="002F239C" w:rsidRDefault="00C806B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Возможность выдачи предупреждения</w:t>
            </w:r>
          </w:p>
        </w:tc>
      </w:tr>
      <w:tr w:rsidR="00871830" w:rsidRPr="002F239C" w14:paraId="1A26DDA3" w14:textId="77777777" w:rsidTr="008E5ADF">
        <w:trPr>
          <w:trHeight w:val="2146"/>
        </w:trPr>
        <w:tc>
          <w:tcPr>
            <w:tcW w:w="2830" w:type="dxa"/>
            <w:shd w:val="clear" w:color="auto" w:fill="66FF66"/>
          </w:tcPr>
          <w:p w14:paraId="0C0E6D25" w14:textId="66B97112" w:rsidR="00871830" w:rsidRPr="002F239C" w:rsidRDefault="0087183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Низкий</w:t>
            </w:r>
          </w:p>
        </w:tc>
        <w:tc>
          <w:tcPr>
            <w:tcW w:w="11730" w:type="dxa"/>
            <w:shd w:val="clear" w:color="auto" w:fill="CCFF99"/>
          </w:tcPr>
          <w:p w14:paraId="207DEE2C" w14:textId="6B0FBD09" w:rsidR="00871830" w:rsidRPr="002F239C" w:rsidRDefault="00C806B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F239C">
              <w:rPr>
                <w:rFonts w:ascii="Times New Roman" w:hAnsi="Times New Roman" w:cs="Times New Roman"/>
                <w:sz w:val="32"/>
                <w:szCs w:val="32"/>
              </w:rPr>
              <w:t>Отрицательное влияние на отношение институтов гражданского общества к деятельности органа власти по развитию конкуренции, вероятность выдачи предупреждений, возбуждения дел о нарушении антимонопольного законодательства, наложение штрафов отсутствует</w:t>
            </w:r>
          </w:p>
        </w:tc>
      </w:tr>
    </w:tbl>
    <w:p w14:paraId="2B21B44C" w14:textId="77777777" w:rsidR="004D2D67" w:rsidRDefault="004D2D67"/>
    <w:sectPr w:rsidR="004D2D67" w:rsidSect="008718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84"/>
    <w:rsid w:val="002F239C"/>
    <w:rsid w:val="00385984"/>
    <w:rsid w:val="004D2D67"/>
    <w:rsid w:val="00871830"/>
    <w:rsid w:val="008E5ADF"/>
    <w:rsid w:val="00C806BB"/>
    <w:rsid w:val="00E97D0D"/>
    <w:rsid w:val="00F0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CFD4"/>
  <w15:chartTrackingRefBased/>
  <w15:docId w15:val="{61455813-E61B-4F08-8F30-0515CCEA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6</cp:revision>
  <dcterms:created xsi:type="dcterms:W3CDTF">2020-11-25T11:08:00Z</dcterms:created>
  <dcterms:modified xsi:type="dcterms:W3CDTF">2020-11-25T11:34:00Z</dcterms:modified>
</cp:coreProperties>
</file>